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Datums: 19.05.2020.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Vecumposms: 1.5-3 gadi</w:t>
      </w:r>
    </w:p>
    <w:tbl>
      <w:tblPr>
        <w:tblStyle w:val="Table1"/>
        <w:tblW w:w="156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45"/>
        <w:gridCol w:w="4275"/>
        <w:gridCol w:w="3840"/>
        <w:tblGridChange w:id="0">
          <w:tblGrid>
            <w:gridCol w:w="7545"/>
            <w:gridCol w:w="4275"/>
            <w:gridCol w:w="38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Bērna mācību darbības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 bērns mācās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Pieaugušo atbalsts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spacing w:after="0" w:afterAutospacing="0"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Liek telpiskus ojektus blakus vienu otram vai citu uz cita (var likt klucīšus, lego, vāciņus utt.)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before="0" w:beforeAutospacing="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Veido telpiskus ojektus un nosauc tos - ceļš, tornis utt.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004678" cy="1433513"/>
                  <wp:effectExtent b="0" l="0" r="0" t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678" cy="1433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540238" cy="1435815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238" cy="1435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8"/>
              </w:numPr>
              <w:spacing w:after="0" w:afterAutospacing="0" w:before="240" w:lineRule="auto"/>
              <w:ind w:left="45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Mācās atpazīt un nosaukt krāsas.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8"/>
              </w:numPr>
              <w:spacing w:after="0" w:afterAutospacing="0" w:before="0" w:beforeAutospacing="0" w:lineRule="auto"/>
              <w:ind w:left="45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5b0f00"/>
                <w:sz w:val="24"/>
                <w:szCs w:val="24"/>
                <w:rtl w:val="0"/>
              </w:rPr>
              <w:t xml:space="preserve">Mācās likt priekšmetus vienu pie otra, vienu uz otra.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after="0" w:afterAutospacing="0" w:before="0" w:beforeAutospacing="0" w:lineRule="auto"/>
              <w:ind w:left="45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5b0f00"/>
                <w:sz w:val="24"/>
                <w:szCs w:val="24"/>
                <w:rtl w:val="0"/>
              </w:rPr>
              <w:t xml:space="preserve">Mācās drošības noteikumus par darbošanos ar klučiem.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pacing w:before="0" w:beforeAutospacing="0" w:lineRule="auto"/>
              <w:ind w:left="450" w:hanging="360"/>
              <w:rPr>
                <w:color w:val="5b0f00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5b0f00"/>
                <w:sz w:val="24"/>
                <w:szCs w:val="24"/>
                <w:rtl w:val="0"/>
              </w:rPr>
              <w:t xml:space="preserve">Mācās satvert dažāda lieluma priekšmetus un veikt darbības ar tiem.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after="0" w:afterAutospacing="0" w:before="24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Sagādāt bērnam dažāda lieluma klucīšus.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Ļaut bērnam darboties patstāvīgi, nepieciešamības gadījumā palīdzēt, atbalstīt.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Līdzdarboties ar bērnu, ja tas ir nepieciešams.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before="0" w:beforeAutospacing="0"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Aicināt bērnu sakārtot pēc darbošanās.</w:t>
            </w:r>
          </w:p>
          <w:p w:rsidR="00000000" w:rsidDel="00000000" w:rsidP="00000000" w:rsidRDefault="00000000" w:rsidRPr="00000000" w14:paraId="00000012">
            <w:pPr>
              <w:spacing w:before="240" w:line="331.2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Datums: 19.05.2020.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Vecumposms: 3-4 gadi</w:t>
      </w:r>
    </w:p>
    <w:tbl>
      <w:tblPr>
        <w:tblStyle w:val="Table2"/>
        <w:tblW w:w="156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45"/>
        <w:gridCol w:w="4275"/>
        <w:gridCol w:w="3840"/>
        <w:tblGridChange w:id="0">
          <w:tblGrid>
            <w:gridCol w:w="7545"/>
            <w:gridCol w:w="4275"/>
            <w:gridCol w:w="38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Bērna mācību darbības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 bērns mācās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Pieaugušo atbalsts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Eksperimentē ar materiālu sakārtošanu un sastiprināšanu, savienošanu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Rada telpiskus ojektus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578338" cy="1556567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338" cy="15565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41220" cy="15192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220" cy="1519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9"/>
              </w:numPr>
              <w:spacing w:after="0" w:afterAutospacing="0" w:befor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Mācās atpazīt un nosaukt krāsas.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9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Mācās atpazīt un nosaukt ģeometriskās figūras.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9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Mācās grupēt pēc lieluma un krāsām.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9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Mācās materiālu sastiprināt, savienot.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9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Mācās izmantot dažāda lieluma materiālus.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9"/>
              </w:numPr>
              <w:spacing w:before="0" w:beforeAutospacing="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5b0f00"/>
                <w:sz w:val="24"/>
                <w:szCs w:val="24"/>
                <w:rtl w:val="0"/>
              </w:rPr>
              <w:t xml:space="preserve">Mācās drošības noteikumus par darbošanos ar klučiem.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spacing w:after="0" w:afterAutospacing="0" w:before="24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Sagādāt bērnam dažāda lieluma klucīšus.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Ļaut bērnam darboties patstāvīgi, nepieciešamības gadījumā palīdzēt, atbalstīt.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Līdzdarboties ar bērnu, ja tas ir nepieciešams.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Aicināt bērnu stāstīt par to, ko viņš veido.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Aicināt bērnu sakārtot pēc darbošanās.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Datums: 19.05.2020.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Vecumposms: 4-5 gadi</w:t>
      </w:r>
    </w:p>
    <w:tbl>
      <w:tblPr>
        <w:tblStyle w:val="Table3"/>
        <w:tblW w:w="156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45"/>
        <w:gridCol w:w="4275"/>
        <w:gridCol w:w="3840"/>
        <w:tblGridChange w:id="0">
          <w:tblGrid>
            <w:gridCol w:w="7545"/>
            <w:gridCol w:w="4275"/>
            <w:gridCol w:w="38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Bērna mācību darbības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 bērns mācās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Pieaugušo atbalsts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spacing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Tin pavedienu ap priekšmetu (veido putnu vērojamo binokli). 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819275" cy="1309688"/>
                  <wp:effectExtent b="0" l="0" r="0" t="0"/>
                  <wp:docPr id="8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3096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spacing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Pagatavo sev sviestmaizi ar desu un gurķi:</w:t>
            </w:r>
          </w:p>
          <w:p w:rsidR="00000000" w:rsidDel="00000000" w:rsidP="00000000" w:rsidRDefault="00000000" w:rsidRPr="00000000" w14:paraId="00000035">
            <w:pPr>
              <w:spacing w:befor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140313" cy="1733550"/>
                  <wp:effectExtent b="0" l="0" r="0" t="0"/>
                  <wp:docPr id="5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313" cy="1733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0"/>
              </w:numPr>
              <w:spacing w:after="0" w:afterAutospacing="0" w:befor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Aptin doto karkasu ar dziju, papildina figūru ar tēlam raksturīgām vai dekoratīvām detaļām.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0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Mācās savienot materiālus – sastiprināt  ar dziju vai stiepli.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0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Atkārto naža lietošanas noteikumus;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0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Aicina apspriest darbību secību un kvalitātes kritērijus. Sadala pienākumus: kurš mazgās, mizos gurķus; kurš tos sagriezīs, kurš apziedīs maizi ar sviestu, kurš uzliks uz maizes gurķu šķēlītes, kurš – uzbērs lociņus.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0"/>
              </w:numPr>
              <w:spacing w:before="0" w:beforeAutospacing="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Kārto maizītes uz šķīvja vai paplātes, klāj galdu. Degustē maizītes. Saviem vārdiem apraksta maizīšu izskatu un garšu. 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Sarunas par bērna iespējām radīt nozīmīgus, pielietojamus produktus, piemēram putnu vērojamo binokli.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Ļaut bērnam patstāvīgi izvēlēties nepieciešamos materiālus un sakārtot savu darba vietu pirms un pēc darbošanās procesa.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Bērns Jūs vēro, tāpēc piedalieties procesā kā darītājs, nevis kā vērotājs un uzraugs. Palīdziet, ja bērns Jums to lūdz. Līdzdarbojaties un sadarbojaties!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Novērtējiet pozitīvi bērnu vienmēr par viņa darbošanos. </w:t>
            </w:r>
          </w:p>
        </w:tc>
      </w:tr>
    </w:tbl>
    <w:p w:rsidR="00000000" w:rsidDel="00000000" w:rsidP="00000000" w:rsidRDefault="00000000" w:rsidRPr="00000000" w14:paraId="0000004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Datums: 19.05.2020.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Vecumposms: 5-6 gadi</w:t>
      </w:r>
    </w:p>
    <w:tbl>
      <w:tblPr>
        <w:tblStyle w:val="Table4"/>
        <w:tblW w:w="15630.0" w:type="dxa"/>
        <w:jc w:val="left"/>
        <w:tblInd w:w="1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15"/>
        <w:gridCol w:w="4275"/>
        <w:gridCol w:w="3840"/>
        <w:tblGridChange w:id="0">
          <w:tblGrid>
            <w:gridCol w:w="7515"/>
            <w:gridCol w:w="4275"/>
            <w:gridCol w:w="38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Bērna mācību darbības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 bērns mācās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Pieaugušo atbalsts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Veido dzijas lellītes.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000250" cy="2052638"/>
                  <wp:effectExtent b="0" l="0" r="0" t="0"/>
                  <wp:docPr id="11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52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149838" cy="2085975"/>
                  <wp:effectExtent b="0" l="0" r="0" t="0"/>
                  <wp:docPr id="9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838" cy="2085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Pagatavo “Dārzeņu salātus”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734737" cy="2271713"/>
                  <wp:effectExtent b="0" l="0" r="0" t="0"/>
                  <wp:docPr id="12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737" cy="22717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Vingrinās aptīt, siet mezglu.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Mazgā rokas, apsien priekšautu, uzliek galvassegu. Nosauc piederumus un instrumentus – galds, dēlītis, nazis. Stāsta, ko ar katru no tiem dara. Nosauc produktus, kurus izmantos salātu pagatavošanā.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Uz dēlīša sagriež vai sarīvē dažādus dārzeņus un zaļumus – gurķus, redīsus, burkānus, ābolus, dilles. Liek traukā dažādās proporcijās (var pievienot eļļu), samaisa un degustē). 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afterAutospacing="0" w:before="24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Ļaut bērnam patstāvīgi izvēlēties nepieciešamos materiālus un sakārtot savu darba vietu pirms un pēc aktivitātes.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Bērns Jūs vēro, tāpēc piedalieties procesā kā darītājs, nevis kā vērotājs un uzraugs. Līdzdarbojaties un sadarbojaties!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Novērtējiet pozitīvi bērnu vienmēr par viņa darbošanos.</w:t>
            </w:r>
          </w:p>
          <w:p w:rsidR="00000000" w:rsidDel="00000000" w:rsidP="00000000" w:rsidRDefault="00000000" w:rsidRPr="00000000" w14:paraId="00000053">
            <w:pPr>
              <w:spacing w:before="240" w:line="276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before="240" w:line="331.2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Datums: 19.05.2020.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Vecumposms: 6-7 gadi</w:t>
      </w:r>
    </w:p>
    <w:tbl>
      <w:tblPr>
        <w:tblStyle w:val="Table5"/>
        <w:tblW w:w="156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15"/>
        <w:gridCol w:w="4305"/>
        <w:gridCol w:w="3840"/>
        <w:tblGridChange w:id="0">
          <w:tblGrid>
            <w:gridCol w:w="7515"/>
            <w:gridCol w:w="4305"/>
            <w:gridCol w:w="38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Bērna mācību darbības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 bērns mācās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Pieaugušo atbalsts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Bdr>
                <w:top w:color="auto" w:space="2" w:sz="0" w:val="none"/>
                <w:left w:color="ed0039" w:space="7" w:sz="96" w:val="single"/>
                <w:bottom w:color="auto" w:space="4" w:sz="0" w:val="none"/>
                <w:right w:color="auto" w:space="0" w:sz="0" w:val="none"/>
              </w:pBdr>
              <w:shd w:fill="ffffff" w:val="clear"/>
              <w:spacing w:after="0" w:before="0" w:line="296.47058823529414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Veido marionetes no tukšiem tualetes papīra rullīšiem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Bdr>
                <w:top w:color="auto" w:space="2" w:sz="0" w:val="none"/>
                <w:left w:color="ed0039" w:space="7" w:sz="96" w:val="single"/>
                <w:bottom w:color="auto" w:space="4" w:sz="0" w:val="none"/>
                <w:right w:color="auto" w:space="0" w:sz="0" w:val="none"/>
              </w:pBdr>
              <w:shd w:fill="ffffff" w:val="clear"/>
              <w:spacing w:after="0" w:before="0" w:line="296.47058823529414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349863" cy="1628775"/>
                  <wp:effectExtent b="0" l="0" r="0" t="0"/>
                  <wp:docPr id="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863" cy="1628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016488" cy="1847885"/>
                  <wp:effectExtent b="0" l="0" r="0" t="0"/>
                  <wp:docPr id="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488" cy="1847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Bdr>
                <w:top w:color="auto" w:space="2" w:sz="0" w:val="none"/>
                <w:left w:color="ed0039" w:space="7" w:sz="96" w:val="single"/>
                <w:bottom w:color="auto" w:space="4" w:sz="0" w:val="none"/>
                <w:right w:color="auto" w:space="0" w:sz="0" w:val="none"/>
              </w:pBdr>
              <w:shd w:fill="ffffff" w:val="clear"/>
              <w:spacing w:after="0" w:before="0"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Bdr>
                <w:top w:color="auto" w:space="2" w:sz="0" w:val="none"/>
                <w:left w:color="ed0039" w:space="7" w:sz="96" w:val="single"/>
                <w:bottom w:color="auto" w:space="4" w:sz="0" w:val="none"/>
                <w:right w:color="auto" w:space="0" w:sz="0" w:val="none"/>
              </w:pBdr>
              <w:shd w:fill="ffffff" w:val="clear"/>
              <w:spacing w:after="0" w:before="0"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Rada burta konstrukcijas</w:t>
            </w:r>
          </w:p>
          <w:p w:rsidR="00000000" w:rsidDel="00000000" w:rsidP="00000000" w:rsidRDefault="00000000" w:rsidRPr="00000000" w14:paraId="0000005E">
            <w:pPr>
              <w:spacing w:befor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917463" cy="1876425"/>
                  <wp:effectExtent b="0" l="0" r="0" t="0"/>
                  <wp:docPr id="3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463" cy="1876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Griež ar šķērēm dažādus materiālus (papīrs, tekstils);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Vingrināties aptīt, pīt ( ar 2 pavedieniem) un vīt pīnītes, siet mezglu, vērt pērlītes.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Aptin izveidoto karkasu ar dziju, papildina figūru ar tēlam raksturīgām vai dekoratīvām detaļām. 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pacing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Stāsta par izveidoto tēlu, demonstrē dažādas tā kustības, attēlo balsi, parāda tā rakstura īpašības, atveido daudzveidīgas situācijas.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pBdr>
                <w:top w:color="auto" w:space="2" w:sz="0" w:val="none"/>
                <w:left w:color="ed0039" w:space="7" w:sz="96" w:val="single"/>
                <w:bottom w:color="auto" w:space="4" w:sz="0" w:val="none"/>
                <w:right w:color="auto" w:space="0" w:sz="0" w:val="none"/>
              </w:pBdr>
              <w:shd w:fill="ffffff" w:val="clear"/>
              <w:spacing w:after="0" w:afterAutospacing="0" w:line="296.47058823529414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Bērns konstruē 3D maketus no dažādiem materiāliem.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spacing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Bērns izpēta burta uzbūvi, izvēlas dažādus materiālus un atveido burtu. Bērns secina pēc kurām konstruktīvām pazīmēm var nekļūdīgi atpazīt noteikta burta simbolu.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after="0" w:afterAutospacing="0" w:before="240"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Ļaut bērnam patstāvīgi izvēlēties nepieciešamos materiālus un sakārtot savu darba vietu pirms un pēc aktivitātēm. 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Bērns Jūs vēro, tāpēc piedalieties procesā kā darītājs, nevis kā vērotājs un uzraugs. Līdzdarbojaties un sadarbojaties!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Piedāvā materiālus konstruēšanai.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Demonstrē parocīgus paņēmienus un iespējas karkasa izveidei, stieples locīšanai, detaļu sastiprināšanai, tīšanai.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Novērtējiet pozitīvi bērnu vienmēr par viņa darbošanos. </w:t>
            </w:r>
          </w:p>
        </w:tc>
      </w:tr>
    </w:tbl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8" w:type="default"/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jpg"/><Relationship Id="rId10" Type="http://schemas.openxmlformats.org/officeDocument/2006/relationships/image" Target="media/image10.jpg"/><Relationship Id="rId13" Type="http://schemas.openxmlformats.org/officeDocument/2006/relationships/image" Target="media/image9.jpg"/><Relationship Id="rId12" Type="http://schemas.openxmlformats.org/officeDocument/2006/relationships/image" Target="media/image1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5.jpg"/><Relationship Id="rId14" Type="http://schemas.openxmlformats.org/officeDocument/2006/relationships/image" Target="media/image7.jpg"/><Relationship Id="rId17" Type="http://schemas.openxmlformats.org/officeDocument/2006/relationships/image" Target="media/image11.jpg"/><Relationship Id="rId16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18" Type="http://schemas.openxmlformats.org/officeDocument/2006/relationships/header" Target="header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